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C" w:rsidRPr="00963D75" w:rsidRDefault="0057381C" w:rsidP="0057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реализац</w:t>
      </w:r>
      <w:r w:rsidR="003E361F">
        <w:rPr>
          <w:rFonts w:ascii="Times New Roman" w:hAnsi="Times New Roman" w:cs="Times New Roman"/>
          <w:b/>
          <w:sz w:val="28"/>
          <w:szCs w:val="28"/>
        </w:rPr>
        <w:t>ии и оценке эффективности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«Информатизация Администрации муниципального образования «Город Майкоп» на 2018-202</w:t>
      </w:r>
      <w:r w:rsidR="003E36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7381C" w:rsidRPr="00963D75" w:rsidRDefault="0057381C" w:rsidP="0057381C">
      <w:pPr>
        <w:spacing w:after="0" w:line="240" w:lineRule="auto"/>
      </w:pPr>
    </w:p>
    <w:p w:rsidR="0057381C" w:rsidRPr="00963D75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«Город Майкоп» на 2018</w:t>
      </w:r>
      <w:r w:rsidRPr="00963D7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61F">
        <w:rPr>
          <w:rFonts w:ascii="Times New Roman" w:hAnsi="Times New Roman" w:cs="Times New Roman"/>
          <w:sz w:val="28"/>
          <w:szCs w:val="28"/>
        </w:rPr>
        <w:t>2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31.10.2017</w:t>
      </w:r>
      <w:r w:rsidRPr="00963D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1304 «Об утверждении муниципальной программы «Информатизация Администрации муниципального образов</w:t>
      </w:r>
      <w:r w:rsidR="00B20AE7">
        <w:rPr>
          <w:rFonts w:ascii="Times New Roman" w:hAnsi="Times New Roman" w:cs="Times New Roman"/>
          <w:sz w:val="28"/>
          <w:szCs w:val="28"/>
        </w:rPr>
        <w:t>ания «Город Майкоп» на 2018-2022</w:t>
      </w:r>
      <w:r>
        <w:rPr>
          <w:rFonts w:ascii="Times New Roman" w:hAnsi="Times New Roman" w:cs="Times New Roman"/>
          <w:sz w:val="28"/>
          <w:szCs w:val="28"/>
        </w:rPr>
        <w:t xml:space="preserve"> годы» (с учетом внесенных изменений)</w:t>
      </w:r>
      <w:r w:rsidRPr="00963D75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информатизации и защиты информации.</w:t>
      </w:r>
    </w:p>
    <w:p w:rsidR="0057381C" w:rsidRPr="00963D75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63D7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 результата</w:t>
      </w:r>
      <w:r w:rsidRPr="00963D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повышено обеспечение органов местного самоуправления современными информационно-телекоммуникационными технологиями.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в отч</w:t>
      </w:r>
      <w:r w:rsidR="00B20AE7">
        <w:rPr>
          <w:rFonts w:ascii="Times New Roman" w:hAnsi="Times New Roman" w:cs="Times New Roman"/>
          <w:sz w:val="28"/>
          <w:szCs w:val="28"/>
        </w:rPr>
        <w:t>етном 2020</w:t>
      </w:r>
      <w:r>
        <w:rPr>
          <w:rFonts w:ascii="Times New Roman" w:hAnsi="Times New Roman" w:cs="Times New Roman"/>
          <w:sz w:val="28"/>
          <w:szCs w:val="28"/>
        </w:rPr>
        <w:t xml:space="preserve"> году было выполнено 6 целевых показателей.</w:t>
      </w:r>
    </w:p>
    <w:p w:rsidR="0057381C" w:rsidRPr="00963D75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7381C" w:rsidRPr="00963D75" w:rsidSect="001A399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 w:rsidR="00B20AE7">
        <w:rPr>
          <w:rFonts w:ascii="Times New Roman" w:hAnsi="Times New Roman" w:cs="Times New Roman"/>
          <w:sz w:val="28"/>
          <w:szCs w:val="28"/>
        </w:rPr>
        <w:t>20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57381C" w:rsidRPr="00963D75" w:rsidRDefault="0057381C" w:rsidP="0057381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lastRenderedPageBreak/>
        <w:t>Таблице №1</w:t>
      </w:r>
    </w:p>
    <w:p w:rsidR="0057381C" w:rsidRDefault="0057381C" w:rsidP="00573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57381C" w:rsidRDefault="0057381C" w:rsidP="00573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6410"/>
        <w:gridCol w:w="1418"/>
        <w:gridCol w:w="1134"/>
        <w:gridCol w:w="1134"/>
        <w:gridCol w:w="1417"/>
        <w:gridCol w:w="2836"/>
      </w:tblGrid>
      <w:tr w:rsidR="0057381C" w:rsidTr="00DF53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7381C" w:rsidTr="00DF532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43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3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43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3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1C" w:rsidTr="00DF532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1C" w:rsidTr="00DF53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381C" w:rsidTr="00DF532E"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«Информатизация Администрации муниципального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«Город Майкоп» на 2018</w:t>
            </w: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5E12B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7381C" w:rsidTr="00433D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Доля одновременно подключенных пользователей к СЭД от общего количества зарегистрированных пользователей в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  <w:r w:rsidR="0057381C"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6" w:rsidRPr="00384306" w:rsidRDefault="00A675A6" w:rsidP="00A6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F4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F4613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81C" w:rsidTr="00433D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с доступом к СМЭВ (система межведомственного электронного взаимодействия)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6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4E3">
              <w:rPr>
                <w:rFonts w:ascii="Times New Roman" w:hAnsi="Times New Roman" w:cs="Times New Roman"/>
                <w:sz w:val="28"/>
                <w:szCs w:val="28"/>
              </w:rPr>
              <w:t>Исполнение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</w:tr>
      <w:tr w:rsidR="0057381C" w:rsidTr="00433D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пользователей, подключенных к системе объединенных коммуникаций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43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E12BF" w:rsidP="00F4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5E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</w:t>
            </w:r>
            <w:r w:rsidR="00DF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81C" w:rsidTr="00433D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C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</w:t>
            </w:r>
          </w:p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посетителей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57381C" w:rsidP="0043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D81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1C" w:rsidRPr="00384306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CC3957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CC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CC3957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5E12B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81C" w:rsidTr="00DF53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Pr="00384306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серверов общего назначения, обеспеченных неисключительными правами на использование программного обеспечения серверных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операционных систем, систем управления базами данных и системы объединенных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A675A6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100,0%</w:t>
            </w:r>
          </w:p>
        </w:tc>
      </w:tr>
      <w:tr w:rsidR="0057381C" w:rsidTr="00DF53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Default="0057381C" w:rsidP="00DF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4C">
              <w:rPr>
                <w:rFonts w:ascii="Times New Roman" w:hAnsi="Times New Roman" w:cs="Times New Roman"/>
                <w:sz w:val="28"/>
              </w:rPr>
              <w:t>Количество автоматизированных рабочих мест структурных подразделений Администрации муниципального образования «Город Майкоп», подключенных к системе «Управления государственным и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Default="00433D81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Default="0057381C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Default="00D25122" w:rsidP="00D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1C" w:rsidRPr="00384306" w:rsidRDefault="0057381C" w:rsidP="00D2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D2512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7381C" w:rsidRDefault="0057381C" w:rsidP="0057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1. Целевой показатель «Доля одновременно подключенных пользователей к СЭД от общего количества зарегистрированных пользователей в системе»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 = </w:t>
      </w:r>
      <w:proofErr w:type="spellStart"/>
      <w:r w:rsidRPr="003E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spellEnd"/>
      <w:r w:rsidRPr="003E361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3E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Пз</w:t>
      </w:r>
      <w:proofErr w:type="spellEnd"/>
      <w:r w:rsidRPr="003E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 100</w:t>
      </w:r>
      <w:r w:rsidRPr="003E361F">
        <w:rPr>
          <w:rFonts w:ascii="Times New Roman" w:hAnsi="Times New Roman" w:cs="Times New Roman"/>
          <w:sz w:val="28"/>
          <w:szCs w:val="28"/>
        </w:rPr>
        <w:t>, где: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Д – доля одновременно подключенных пользователей к СЭД от общего количества зарегистрированных пользователей в системе, %;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 xml:space="preserve"> – количество одновременно подключенных пользователей к СЭД, шт.;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пользователей в СЭД, 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;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П</w:t>
      </w:r>
      <w:r w:rsidR="005E12BF">
        <w:rPr>
          <w:rFonts w:ascii="Times New Roman" w:hAnsi="Times New Roman" w:cs="Times New Roman"/>
          <w:sz w:val="28"/>
          <w:szCs w:val="28"/>
        </w:rPr>
        <w:t>лановый расчет: 170/290*100=58,6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Фактический расчет: </w:t>
      </w:r>
      <w:r w:rsidR="00CC3957" w:rsidRPr="003E361F">
        <w:rPr>
          <w:rFonts w:ascii="Times New Roman" w:hAnsi="Times New Roman" w:cs="Times New Roman"/>
          <w:sz w:val="28"/>
          <w:szCs w:val="28"/>
        </w:rPr>
        <w:t>220</w:t>
      </w:r>
      <w:r w:rsidRPr="003E361F">
        <w:rPr>
          <w:rFonts w:ascii="Times New Roman" w:hAnsi="Times New Roman" w:cs="Times New Roman"/>
          <w:sz w:val="28"/>
          <w:szCs w:val="28"/>
        </w:rPr>
        <w:t>/</w:t>
      </w:r>
      <w:r w:rsidR="00CC3957" w:rsidRPr="003E361F">
        <w:rPr>
          <w:rFonts w:ascii="Times New Roman" w:hAnsi="Times New Roman" w:cs="Times New Roman"/>
          <w:sz w:val="28"/>
          <w:szCs w:val="28"/>
        </w:rPr>
        <w:t>308</w:t>
      </w:r>
      <w:r w:rsidRPr="003E361F">
        <w:rPr>
          <w:rFonts w:ascii="Times New Roman" w:hAnsi="Times New Roman" w:cs="Times New Roman"/>
          <w:sz w:val="28"/>
          <w:szCs w:val="28"/>
        </w:rPr>
        <w:t>*100=</w:t>
      </w:r>
      <w:r w:rsidR="00CC3957" w:rsidRPr="003E361F">
        <w:rPr>
          <w:rFonts w:ascii="Times New Roman" w:hAnsi="Times New Roman" w:cs="Times New Roman"/>
          <w:sz w:val="28"/>
          <w:szCs w:val="28"/>
        </w:rPr>
        <w:t>71,4</w:t>
      </w:r>
      <w:r w:rsidRPr="003E361F">
        <w:rPr>
          <w:rFonts w:ascii="Times New Roman" w:hAnsi="Times New Roman" w:cs="Times New Roman"/>
          <w:sz w:val="28"/>
          <w:szCs w:val="28"/>
        </w:rPr>
        <w:t>%</w:t>
      </w:r>
    </w:p>
    <w:p w:rsidR="00D25122" w:rsidRPr="003E361F" w:rsidRDefault="008565D1" w:rsidP="00856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финансирования Администрации муниципального образования «Город Майкоп» на внепрограммные расходы приобретено 50 штук д</w:t>
      </w:r>
      <w:r w:rsidR="00D25122" w:rsidRPr="003E361F">
        <w:rPr>
          <w:rFonts w:ascii="Times New Roman" w:hAnsi="Times New Roman" w:cs="Times New Roman"/>
          <w:sz w:val="28"/>
          <w:szCs w:val="28"/>
        </w:rPr>
        <w:t>ополнительных лицензий на прав</w:t>
      </w:r>
      <w:r w:rsidR="003E361F" w:rsidRPr="003E361F">
        <w:rPr>
          <w:rFonts w:ascii="Times New Roman" w:hAnsi="Times New Roman" w:cs="Times New Roman"/>
          <w:sz w:val="28"/>
          <w:szCs w:val="28"/>
        </w:rPr>
        <w:t>о</w:t>
      </w:r>
      <w:r w:rsidR="00D25122" w:rsidRPr="003E361F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ьзования системы 1С Предприятие, что повлияло на перевыполнение показателя.</w:t>
      </w:r>
      <w:bookmarkStart w:id="0" w:name="_GoBack"/>
      <w:bookmarkEnd w:id="0"/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2. По показателю «Количество рабочи</w:t>
      </w:r>
      <w:r w:rsidR="005E12BF">
        <w:rPr>
          <w:rFonts w:ascii="Times New Roman" w:hAnsi="Times New Roman" w:cs="Times New Roman"/>
          <w:sz w:val="28"/>
          <w:szCs w:val="28"/>
        </w:rPr>
        <w:t>х мест с доступом к СМЭВ» в 2020</w:t>
      </w:r>
      <w:r w:rsidRPr="003E361F">
        <w:rPr>
          <w:rFonts w:ascii="Times New Roman" w:hAnsi="Times New Roman" w:cs="Times New Roman"/>
          <w:sz w:val="28"/>
          <w:szCs w:val="28"/>
        </w:rPr>
        <w:t xml:space="preserve"> году запланировано 4 рабочих места с доступом к СМЭВ, фактически подключенных рабочих места с доступом к СМЭВ – 4. 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3. Целевой показатель «Доля пользователей, подключенных к системе объединенных коммуникаций»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/Па х 100, где: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Д – доля пользователей, подключенных к системе объединенных коммуникаций, %;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 xml:space="preserve"> – количество пользователей, подключенных к системе объединенных коммуникаций, за отчетный год, шт.;</w:t>
      </w:r>
    </w:p>
    <w:p w:rsidR="0057381C" w:rsidRPr="003E361F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lastRenderedPageBreak/>
        <w:t>Па – количество пользователей Администрации, шт.;</w:t>
      </w:r>
    </w:p>
    <w:p w:rsidR="0057381C" w:rsidRPr="003E361F" w:rsidRDefault="005E12BF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расчет: 343</w:t>
      </w:r>
      <w:r w:rsidR="0057381C" w:rsidRPr="003E361F">
        <w:rPr>
          <w:rFonts w:ascii="Times New Roman" w:hAnsi="Times New Roman" w:cs="Times New Roman"/>
          <w:sz w:val="28"/>
          <w:szCs w:val="28"/>
        </w:rPr>
        <w:t>/400*100=8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381C" w:rsidRPr="003E361F">
        <w:rPr>
          <w:rFonts w:ascii="Times New Roman" w:hAnsi="Times New Roman" w:cs="Times New Roman"/>
          <w:sz w:val="28"/>
          <w:szCs w:val="28"/>
        </w:rPr>
        <w:t>,0%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Фактический расчет: </w:t>
      </w:r>
      <w:r w:rsidR="00CC3957" w:rsidRPr="003E361F">
        <w:rPr>
          <w:rFonts w:ascii="Times New Roman" w:hAnsi="Times New Roman" w:cs="Times New Roman"/>
          <w:sz w:val="28"/>
          <w:szCs w:val="28"/>
        </w:rPr>
        <w:t>355</w:t>
      </w:r>
      <w:r w:rsidRPr="003E361F">
        <w:rPr>
          <w:rFonts w:ascii="Times New Roman" w:hAnsi="Times New Roman" w:cs="Times New Roman"/>
          <w:sz w:val="28"/>
          <w:szCs w:val="28"/>
        </w:rPr>
        <w:t>/400*100%=8</w:t>
      </w:r>
      <w:r w:rsidR="00CC3957" w:rsidRPr="003E361F">
        <w:rPr>
          <w:rFonts w:ascii="Times New Roman" w:hAnsi="Times New Roman" w:cs="Times New Roman"/>
          <w:sz w:val="28"/>
          <w:szCs w:val="28"/>
        </w:rPr>
        <w:t>8</w:t>
      </w:r>
      <w:r w:rsidRPr="003E361F">
        <w:rPr>
          <w:rFonts w:ascii="Times New Roman" w:hAnsi="Times New Roman" w:cs="Times New Roman"/>
          <w:sz w:val="28"/>
          <w:szCs w:val="28"/>
        </w:rPr>
        <w:t>,</w:t>
      </w:r>
      <w:r w:rsidR="005E12BF">
        <w:rPr>
          <w:rFonts w:ascii="Times New Roman" w:hAnsi="Times New Roman" w:cs="Times New Roman"/>
          <w:sz w:val="28"/>
          <w:szCs w:val="28"/>
        </w:rPr>
        <w:t>8</w:t>
      </w:r>
      <w:r w:rsidRPr="003E361F">
        <w:rPr>
          <w:rFonts w:ascii="Times New Roman" w:hAnsi="Times New Roman" w:cs="Times New Roman"/>
          <w:sz w:val="28"/>
          <w:szCs w:val="28"/>
        </w:rPr>
        <w:t>%</w:t>
      </w:r>
    </w:p>
    <w:p w:rsidR="0057381C" w:rsidRPr="00C56921" w:rsidRDefault="0057381C" w:rsidP="00D25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показателю «Число посетителей официального сайта Администрации муниципального об</w:t>
      </w:r>
      <w:r w:rsidR="0041597F">
        <w:rPr>
          <w:rFonts w:ascii="Times New Roman" w:hAnsi="Times New Roman" w:cs="Times New Roman"/>
          <w:sz w:val="28"/>
          <w:szCs w:val="28"/>
        </w:rPr>
        <w:t>разования «Город Майкоп» на 2020</w:t>
      </w:r>
      <w:r>
        <w:rPr>
          <w:rFonts w:ascii="Times New Roman" w:hAnsi="Times New Roman" w:cs="Times New Roman"/>
          <w:sz w:val="28"/>
          <w:szCs w:val="28"/>
        </w:rPr>
        <w:t xml:space="preserve"> год было запланировано 1</w:t>
      </w:r>
      <w:r w:rsidR="00D25122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посетителей, фактически </w:t>
      </w:r>
      <w:r w:rsidR="00D25122">
        <w:rPr>
          <w:rFonts w:ascii="Times New Roman" w:hAnsi="Times New Roman" w:cs="Times New Roman"/>
          <w:sz w:val="28"/>
          <w:szCs w:val="28"/>
        </w:rPr>
        <w:t>системой управления о</w:t>
      </w:r>
      <w:r>
        <w:rPr>
          <w:rFonts w:ascii="Times New Roman" w:hAnsi="Times New Roman" w:cs="Times New Roman"/>
          <w:sz w:val="28"/>
          <w:szCs w:val="28"/>
        </w:rPr>
        <w:t>фициальн</w:t>
      </w:r>
      <w:r w:rsidR="00D251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25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22">
        <w:rPr>
          <w:rFonts w:ascii="Times New Roman" w:hAnsi="Times New Roman" w:cs="Times New Roman"/>
          <w:sz w:val="28"/>
          <w:szCs w:val="28"/>
        </w:rPr>
        <w:t>зафиксировано 5627,7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22">
        <w:rPr>
          <w:rFonts w:ascii="Times New Roman" w:hAnsi="Times New Roman" w:cs="Times New Roman"/>
          <w:sz w:val="28"/>
          <w:szCs w:val="28"/>
        </w:rPr>
        <w:t xml:space="preserve">посещений. Однако из указанных посещений </w:t>
      </w:r>
      <w:r w:rsidR="00D25122" w:rsidRPr="00D25122">
        <w:rPr>
          <w:rFonts w:ascii="Times New Roman" w:hAnsi="Times New Roman" w:cs="Times New Roman"/>
          <w:sz w:val="28"/>
          <w:szCs w:val="28"/>
        </w:rPr>
        <w:t>4495,9</w:t>
      </w:r>
      <w:r w:rsidR="00D25122">
        <w:rPr>
          <w:rFonts w:ascii="Times New Roman" w:hAnsi="Times New Roman" w:cs="Times New Roman"/>
          <w:sz w:val="28"/>
          <w:szCs w:val="28"/>
        </w:rPr>
        <w:t xml:space="preserve"> приходятся на май июнь месяц, что указывает на попытки сетевых атак на официальный сайт Администрации с использованием типа атаки </w:t>
      </w:r>
      <w:r w:rsidR="00D25122">
        <w:rPr>
          <w:rFonts w:ascii="Times New Roman" w:hAnsi="Times New Roman" w:cs="Times New Roman"/>
          <w:sz w:val="28"/>
          <w:szCs w:val="28"/>
          <w:lang w:val="en-US"/>
        </w:rPr>
        <w:t>DDO</w:t>
      </w:r>
      <w:r w:rsidR="00D25122" w:rsidRPr="004159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97F">
        <w:rPr>
          <w:rFonts w:ascii="Times New Roman" w:hAnsi="Times New Roman" w:cs="Times New Roman"/>
          <w:sz w:val="28"/>
          <w:szCs w:val="28"/>
        </w:rPr>
        <w:t>.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показателю «Доля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коммуникаций»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= (Д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+ 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+ 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>)/3;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>/Л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>*100;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>/Л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>*100;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>/Л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>*100;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- 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коммуникаций, %;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доля серверов, обеспеченных правами на использование программного обеспечения серверных операционных систем;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серверов общего назначения;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неисключительных прав на использование серверных операционных систем;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доля серверов, обеспеченных неисключительными правами на использование систем управления базами данных;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серверов управления базами данных;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неисключительных прав на использование систем управления базами данных;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6A0">
        <w:rPr>
          <w:rFonts w:ascii="Times New Roman" w:hAnsi="Times New Roman" w:cs="Times New Roman"/>
          <w:sz w:val="28"/>
          <w:szCs w:val="28"/>
        </w:rPr>
        <w:t xml:space="preserve"> доля серверов, обеспеченных правами на использование системы объединенных коммуникаций;</w:t>
      </w:r>
    </w:p>
    <w:p w:rsidR="0057381C" w:rsidRPr="003636A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серверов системы объединенных коммуникаций;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неисключительных прав на использование системы объединенных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расчет: </w:t>
      </w: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%=100%;</w:t>
      </w:r>
    </w:p>
    <w:p w:rsidR="0057381C" w:rsidRPr="003636A0" w:rsidRDefault="0057381C" w:rsidP="0057381C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57381C" w:rsidRDefault="0057381C" w:rsidP="0057381C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57381C" w:rsidRDefault="0057381C" w:rsidP="0057381C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= (</w:t>
      </w:r>
      <w:r>
        <w:rPr>
          <w:rFonts w:ascii="Times New Roman" w:hAnsi="Times New Roman" w:cs="Times New Roman"/>
          <w:sz w:val="28"/>
          <w:szCs w:val="28"/>
        </w:rPr>
        <w:t>100%+100%+100%</w:t>
      </w:r>
      <w:r w:rsidRPr="003636A0">
        <w:rPr>
          <w:rFonts w:ascii="Times New Roman" w:hAnsi="Times New Roman" w:cs="Times New Roman"/>
          <w:sz w:val="28"/>
          <w:szCs w:val="28"/>
        </w:rPr>
        <w:t>)/3</w:t>
      </w:r>
      <w:r>
        <w:rPr>
          <w:rFonts w:ascii="Times New Roman" w:hAnsi="Times New Roman" w:cs="Times New Roman"/>
          <w:sz w:val="28"/>
          <w:szCs w:val="28"/>
        </w:rPr>
        <w:t>=100%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расчет: </w:t>
      </w: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%=100%;</w:t>
      </w:r>
    </w:p>
    <w:p w:rsidR="0057381C" w:rsidRPr="003636A0" w:rsidRDefault="0057381C" w:rsidP="0057381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57381C" w:rsidRDefault="0057381C" w:rsidP="0057381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57381C" w:rsidRDefault="0057381C" w:rsidP="0057381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= (</w:t>
      </w:r>
      <w:r>
        <w:rPr>
          <w:rFonts w:ascii="Times New Roman" w:hAnsi="Times New Roman" w:cs="Times New Roman"/>
          <w:sz w:val="28"/>
          <w:szCs w:val="28"/>
        </w:rPr>
        <w:t>100%+100%+100%</w:t>
      </w:r>
      <w:r w:rsidRPr="003636A0">
        <w:rPr>
          <w:rFonts w:ascii="Times New Roman" w:hAnsi="Times New Roman" w:cs="Times New Roman"/>
          <w:sz w:val="28"/>
          <w:szCs w:val="28"/>
        </w:rPr>
        <w:t>)/3</w:t>
      </w:r>
      <w:r>
        <w:rPr>
          <w:rFonts w:ascii="Times New Roman" w:hAnsi="Times New Roman" w:cs="Times New Roman"/>
          <w:sz w:val="28"/>
          <w:szCs w:val="28"/>
        </w:rPr>
        <w:t>=100%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 По показателю «</w:t>
      </w:r>
      <w:r w:rsidRPr="009C314C">
        <w:rPr>
          <w:rFonts w:ascii="Times New Roman" w:hAnsi="Times New Roman" w:cs="Times New Roman"/>
          <w:sz w:val="28"/>
        </w:rPr>
        <w:t>Количество автоматизированных рабочих мест структурных подразделений Администрации муниципального образования «Город Майкоп», подключенных к системе «Управления государственным и муниципальным имуществом»</w:t>
      </w:r>
      <w:r>
        <w:rPr>
          <w:rFonts w:ascii="Times New Roman" w:hAnsi="Times New Roman" w:cs="Times New Roman"/>
          <w:sz w:val="28"/>
        </w:rPr>
        <w:t xml:space="preserve"> на 20</w:t>
      </w:r>
      <w:r w:rsidR="00B947BE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 xml:space="preserve">год было запланировано подключение 85 рабочих мест, фактически подключено </w:t>
      </w:r>
      <w:r w:rsidR="003E361F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 автоматизированных рабочих мест</w:t>
      </w:r>
      <w:r w:rsidR="0041597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3E361F" w:rsidRPr="00D25122" w:rsidRDefault="003E361F" w:rsidP="003E3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D5B1D">
        <w:rPr>
          <w:rFonts w:ascii="Times New Roman" w:hAnsi="Times New Roman" w:cs="Times New Roman"/>
          <w:sz w:val="28"/>
          <w:szCs w:val="28"/>
        </w:rPr>
        <w:t xml:space="preserve">Данный целевой показатель был не выполнен (&lt;95%) в связи с выходом новой версии программного обеспечения </w:t>
      </w:r>
      <w:r w:rsidR="0041597F">
        <w:rPr>
          <w:rFonts w:ascii="Times New Roman" w:hAnsi="Times New Roman" w:cs="Times New Roman"/>
          <w:sz w:val="28"/>
          <w:szCs w:val="28"/>
        </w:rPr>
        <w:t>«</w:t>
      </w:r>
      <w:r w:rsidRPr="009C314C">
        <w:rPr>
          <w:rFonts w:ascii="Times New Roman" w:hAnsi="Times New Roman" w:cs="Times New Roman"/>
          <w:sz w:val="28"/>
        </w:rPr>
        <w:t>Управления государственным и муниципальным имуществом»</w:t>
      </w:r>
      <w:r>
        <w:rPr>
          <w:rFonts w:ascii="Times New Roman" w:hAnsi="Times New Roman" w:cs="Times New Roman"/>
          <w:sz w:val="28"/>
        </w:rPr>
        <w:t>.</w:t>
      </w:r>
    </w:p>
    <w:p w:rsidR="003E361F" w:rsidRDefault="003E361F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Pr="00963D75" w:rsidRDefault="0057381C" w:rsidP="0057381C">
      <w:pPr>
        <w:spacing w:after="0" w:line="240" w:lineRule="auto"/>
        <w:sectPr w:rsidR="0057381C" w:rsidRPr="00963D75" w:rsidSect="00203CDE">
          <w:pgSz w:w="16838" w:h="11906" w:orient="landscape"/>
          <w:pgMar w:top="1560" w:right="1134" w:bottom="1701" w:left="1134" w:header="708" w:footer="708" w:gutter="0"/>
          <w:cols w:space="708"/>
          <w:docGrid w:linePitch="360"/>
        </w:sectPr>
      </w:pPr>
    </w:p>
    <w:p w:rsidR="0057381C" w:rsidRPr="001F624B" w:rsidRDefault="0057381C" w:rsidP="0057381C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1F624B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Таблица № 2</w:t>
      </w:r>
    </w:p>
    <w:p w:rsidR="0057381C" w:rsidRDefault="0057381C" w:rsidP="0057381C">
      <w:pPr>
        <w:spacing w:after="0" w:line="240" w:lineRule="auto"/>
        <w:ind w:firstLine="698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963D7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57381C" w:rsidRDefault="0057381C" w:rsidP="0057381C">
      <w:pPr>
        <w:spacing w:after="0" w:line="240" w:lineRule="auto"/>
        <w:ind w:firstLine="698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2126"/>
        <w:gridCol w:w="1843"/>
        <w:gridCol w:w="1949"/>
      </w:tblGrid>
      <w:tr w:rsidR="0057381C" w:rsidTr="00DF532E">
        <w:tc>
          <w:tcPr>
            <w:tcW w:w="846" w:type="dxa"/>
            <w:vMerge w:val="restart"/>
          </w:tcPr>
          <w:p w:rsidR="0057381C" w:rsidRPr="00D00372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118" w:type="dxa"/>
            <w:vMerge w:val="restart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5918" w:type="dxa"/>
            <w:gridSpan w:val="3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57381C" w:rsidTr="00DF532E">
        <w:tc>
          <w:tcPr>
            <w:tcW w:w="846" w:type="dxa"/>
            <w:vMerge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% исполнения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</w:tr>
      <w:tr w:rsidR="0057381C" w:rsidTr="00DF532E">
        <w:tc>
          <w:tcPr>
            <w:tcW w:w="14560" w:type="dxa"/>
            <w:gridSpan w:val="6"/>
          </w:tcPr>
          <w:p w:rsidR="0057381C" w:rsidRPr="00B7680A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Муниципальная программа « Информатизация Администрации муниципального образов</w:t>
            </w:r>
            <w:r w:rsidR="00D879F1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ания «Город Майкоп» на 2018-2022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  <w:tr w:rsidR="0057381C" w:rsidTr="00DF532E">
        <w:tc>
          <w:tcPr>
            <w:tcW w:w="846" w:type="dxa"/>
          </w:tcPr>
          <w:p w:rsidR="0057381C" w:rsidRPr="00DA08FD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08FD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Основное мероприятие</w:t>
            </w:r>
          </w:p>
          <w:p w:rsidR="0057381C" w:rsidRPr="00DA08FD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Организационно – 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программ;</w:t>
            </w:r>
          </w:p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57381C" w:rsidTr="00DF532E">
        <w:tc>
          <w:tcPr>
            <w:tcW w:w="846" w:type="dxa"/>
          </w:tcPr>
          <w:p w:rsidR="0057381C" w:rsidRPr="0007691F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57381C" w:rsidRPr="0007691F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Аттестация объекта информатизации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Pr="0007691F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57381C" w:rsidRPr="00EF1FC4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F1FC4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аттестованных объектов информатизации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Pr="007666D7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57381C" w:rsidRPr="00B215C0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оборудования для видеоконференцсвязи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1.2.1.</w:t>
            </w:r>
          </w:p>
        </w:tc>
        <w:tc>
          <w:tcPr>
            <w:tcW w:w="4678" w:type="dxa"/>
          </w:tcPr>
          <w:p w:rsidR="0057381C" w:rsidRPr="00B215C0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терминалов видеоконференцсвязи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7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серверного оборудования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Pr="00E07F5E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1.3.1.</w:t>
            </w:r>
          </w:p>
        </w:tc>
        <w:tc>
          <w:tcPr>
            <w:tcW w:w="4678" w:type="dxa"/>
          </w:tcPr>
          <w:p w:rsidR="0057381C" w:rsidRPr="00EA108D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серверов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Pr="00E07F5E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1.3.2.</w:t>
            </w:r>
          </w:p>
        </w:tc>
        <w:tc>
          <w:tcPr>
            <w:tcW w:w="4678" w:type="dxa"/>
          </w:tcPr>
          <w:p w:rsidR="0057381C" w:rsidRPr="00EA108D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серверных шкафов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Pr="00E07F5E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57381C" w:rsidRPr="00EA108D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неисключительных прав на использование программных продуктов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Pr="00E07F5E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1.4.1.</w:t>
            </w:r>
          </w:p>
        </w:tc>
        <w:tc>
          <w:tcPr>
            <w:tcW w:w="4678" w:type="dxa"/>
          </w:tcPr>
          <w:p w:rsidR="0057381C" w:rsidRPr="006B58A8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приобретенных неисключительных прав на использование программных продуктов (шт. лицензий)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Pr="00E07F5E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</w:t>
            </w:r>
          </w:p>
        </w:tc>
        <w:tc>
          <w:tcPr>
            <w:tcW w:w="467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1.5.1.</w:t>
            </w:r>
          </w:p>
        </w:tc>
        <w:tc>
          <w:tcPr>
            <w:tcW w:w="4678" w:type="dxa"/>
          </w:tcPr>
          <w:p w:rsidR="0057381C" w:rsidRPr="00E85B85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действующих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  <w:lang w:val="en-US"/>
              </w:rPr>
              <w:t xml:space="preserve"> SSL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сертификатов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1.5.2.</w:t>
            </w:r>
          </w:p>
        </w:tc>
        <w:tc>
          <w:tcPr>
            <w:tcW w:w="4678" w:type="dxa"/>
          </w:tcPr>
          <w:p w:rsidR="0057381C" w:rsidRPr="00803705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 xml:space="preserve">Наличие действующей подписки на техническую поддержку 1С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Битрикс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 xml:space="preserve"> Управление сайтом «Эксперт»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1.5.3.</w:t>
            </w:r>
          </w:p>
        </w:tc>
        <w:tc>
          <w:tcPr>
            <w:tcW w:w="4678" w:type="dxa"/>
          </w:tcPr>
          <w:p w:rsidR="0057381C" w:rsidRPr="00803705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Предоставление услуг по экспертно-документационному обеспечению защиты сайта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1.6.</w:t>
            </w:r>
          </w:p>
        </w:tc>
        <w:tc>
          <w:tcPr>
            <w:tcW w:w="4678" w:type="dxa"/>
          </w:tcPr>
          <w:p w:rsidR="0057381C" w:rsidRPr="003E1253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Генерация ключевой пары для ЭДО (электронный документооборот)сроком на 1 год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СМЭВ (система межведомственного электронного взаимодействия)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4678" w:type="dxa"/>
          </w:tcPr>
          <w:p w:rsidR="0057381C" w:rsidRPr="00803705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действующих ЭЦП для СМЭВ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1.7.</w:t>
            </w:r>
          </w:p>
        </w:tc>
        <w:tc>
          <w:tcPr>
            <w:tcW w:w="4678" w:type="dxa"/>
          </w:tcPr>
          <w:p w:rsidR="0057381C" w:rsidRPr="003E1253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программного обеспечения автоматизированной системы «Управления государственным и муниципальным имуществом»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</w:t>
            </w:r>
          </w:p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1.7.1.</w:t>
            </w:r>
          </w:p>
        </w:tc>
        <w:tc>
          <w:tcPr>
            <w:tcW w:w="4678" w:type="dxa"/>
          </w:tcPr>
          <w:p w:rsidR="0057381C" w:rsidRPr="00803705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неисключительных прав на использование системы «Управления государственным и муниципальным имуществом» (ед.)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</w:t>
            </w:r>
          </w:p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1.8.</w:t>
            </w:r>
          </w:p>
        </w:tc>
        <w:tc>
          <w:tcPr>
            <w:tcW w:w="4678" w:type="dxa"/>
          </w:tcPr>
          <w:p w:rsidR="0057381C" w:rsidRPr="000F31DE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программно-технического комплекса для работы с банком данных о детях оставшихся без попечения родителей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1.8.1.</w:t>
            </w:r>
          </w:p>
        </w:tc>
        <w:tc>
          <w:tcPr>
            <w:tcW w:w="4678" w:type="dxa"/>
          </w:tcPr>
          <w:p w:rsidR="0057381C" w:rsidRPr="00803705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автоматизированных рабочих мест для работы с банком данных о детях, оставшихся без попечения родителей (шт.)</w:t>
            </w:r>
          </w:p>
        </w:tc>
        <w:tc>
          <w:tcPr>
            <w:tcW w:w="311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57381C" w:rsidRDefault="003E361F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Причины невыполнения контрольных событий и сроков выполнения</w:t>
            </w:r>
          </w:p>
        </w:tc>
        <w:tc>
          <w:tcPr>
            <w:tcW w:w="9036" w:type="dxa"/>
            <w:gridSpan w:val="4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57381C" w:rsidTr="00DF532E">
        <w:tc>
          <w:tcPr>
            <w:tcW w:w="846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036" w:type="dxa"/>
            <w:gridSpan w:val="4"/>
          </w:tcPr>
          <w:p w:rsidR="0057381C" w:rsidRDefault="0057381C" w:rsidP="00DF532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57381C" w:rsidRDefault="0057381C" w:rsidP="0057381C">
      <w:pPr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br w:type="page"/>
      </w:r>
    </w:p>
    <w:p w:rsidR="0057381C" w:rsidRDefault="0057381C" w:rsidP="0057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p w:rsidR="0057381C" w:rsidRDefault="0057381C" w:rsidP="0057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57381C" w:rsidRDefault="0057381C" w:rsidP="00573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1985"/>
        <w:gridCol w:w="1984"/>
        <w:gridCol w:w="1843"/>
        <w:gridCol w:w="1984"/>
      </w:tblGrid>
      <w:tr w:rsidR="0057381C" w:rsidTr="00DF532E">
        <w:tc>
          <w:tcPr>
            <w:tcW w:w="4820" w:type="dxa"/>
            <w:vMerge w:val="restart"/>
          </w:tcPr>
          <w:p w:rsidR="0057381C" w:rsidRPr="00906072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2410" w:type="dxa"/>
            <w:vMerge w:val="restart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796" w:type="dxa"/>
            <w:gridSpan w:val="4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2019 года</w:t>
            </w: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31 декабря 2019 года</w:t>
            </w: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7381C" w:rsidTr="00DF532E">
        <w:tc>
          <w:tcPr>
            <w:tcW w:w="4820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81C" w:rsidTr="00DF532E">
        <w:tc>
          <w:tcPr>
            <w:tcW w:w="4820" w:type="dxa"/>
            <w:vMerge w:val="restart"/>
          </w:tcPr>
          <w:p w:rsidR="0057381C" w:rsidRPr="00122EDF" w:rsidRDefault="0057381C" w:rsidP="00DF532E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 Информатизация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57381C" w:rsidRPr="00122EDF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57381C" w:rsidRPr="003E361F" w:rsidRDefault="003E361F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434,2</w:t>
            </w:r>
          </w:p>
        </w:tc>
        <w:tc>
          <w:tcPr>
            <w:tcW w:w="1984" w:type="dxa"/>
          </w:tcPr>
          <w:p w:rsidR="0057381C" w:rsidRPr="00122EDF" w:rsidRDefault="003E361F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29,2</w:t>
            </w:r>
          </w:p>
        </w:tc>
        <w:tc>
          <w:tcPr>
            <w:tcW w:w="1843" w:type="dxa"/>
          </w:tcPr>
          <w:p w:rsidR="0057381C" w:rsidRPr="00122EDF" w:rsidRDefault="003E361F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29,1</w:t>
            </w:r>
          </w:p>
        </w:tc>
        <w:tc>
          <w:tcPr>
            <w:tcW w:w="1984" w:type="dxa"/>
          </w:tcPr>
          <w:p w:rsidR="0057381C" w:rsidRPr="00122EDF" w:rsidRDefault="003E361F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информатизации;</w:t>
            </w:r>
          </w:p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программ;</w:t>
            </w:r>
          </w:p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F" w:rsidTr="00DF532E">
        <w:tc>
          <w:tcPr>
            <w:tcW w:w="4820" w:type="dxa"/>
            <w:vMerge w:val="restart"/>
          </w:tcPr>
          <w:p w:rsidR="003E361F" w:rsidRDefault="003E361F" w:rsidP="003E361F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Основное мероприятие:</w:t>
            </w:r>
          </w:p>
          <w:p w:rsidR="003E361F" w:rsidRPr="00122EDF" w:rsidRDefault="003E361F" w:rsidP="003E361F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3E361F" w:rsidRPr="00122EDF" w:rsidRDefault="003E361F" w:rsidP="003E361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3E361F" w:rsidRPr="003E361F" w:rsidRDefault="003E361F" w:rsidP="003E361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434,2</w:t>
            </w:r>
          </w:p>
        </w:tc>
        <w:tc>
          <w:tcPr>
            <w:tcW w:w="1984" w:type="dxa"/>
          </w:tcPr>
          <w:p w:rsidR="003E361F" w:rsidRPr="00122EDF" w:rsidRDefault="003E361F" w:rsidP="003E361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29,2</w:t>
            </w:r>
          </w:p>
        </w:tc>
        <w:tc>
          <w:tcPr>
            <w:tcW w:w="1843" w:type="dxa"/>
          </w:tcPr>
          <w:p w:rsidR="003E361F" w:rsidRPr="00122EDF" w:rsidRDefault="003E361F" w:rsidP="003E361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29,1</w:t>
            </w:r>
          </w:p>
        </w:tc>
        <w:tc>
          <w:tcPr>
            <w:tcW w:w="1984" w:type="dxa"/>
          </w:tcPr>
          <w:p w:rsidR="003E361F" w:rsidRPr="00122EDF" w:rsidRDefault="003E361F" w:rsidP="003E361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информатизации;</w:t>
            </w:r>
          </w:p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программ;</w:t>
            </w:r>
          </w:p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1C" w:rsidTr="00DF532E">
        <w:tc>
          <w:tcPr>
            <w:tcW w:w="482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81C" w:rsidRDefault="0057381C" w:rsidP="00DF532E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81C" w:rsidRPr="00963D75" w:rsidRDefault="0057381C" w:rsidP="0057381C">
      <w:pPr>
        <w:spacing w:after="0" w:line="240" w:lineRule="auto"/>
      </w:pPr>
    </w:p>
    <w:p w:rsidR="0057381C" w:rsidRPr="00963D75" w:rsidRDefault="0057381C" w:rsidP="0057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81C" w:rsidRPr="00963D75" w:rsidSect="00356DBC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57381C" w:rsidRPr="00CC0DB4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внесенных изменениях в муниципальную программу: </w:t>
      </w:r>
    </w:p>
    <w:p w:rsidR="0057381C" w:rsidRPr="009F7F8A" w:rsidRDefault="0057381C" w:rsidP="0057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AD5B1D">
        <w:rPr>
          <w:rFonts w:ascii="Times New Roman" w:hAnsi="Times New Roman" w:cs="Times New Roman"/>
          <w:sz w:val="28"/>
          <w:szCs w:val="28"/>
        </w:rPr>
        <w:t>20</w:t>
      </w:r>
      <w:r w:rsidRPr="00CC0DB4">
        <w:rPr>
          <w:rFonts w:ascii="Times New Roman" w:hAnsi="Times New Roman" w:cs="Times New Roman"/>
          <w:sz w:val="28"/>
          <w:szCs w:val="28"/>
        </w:rPr>
        <w:t>.0</w:t>
      </w:r>
      <w:r w:rsidR="00AD5B1D">
        <w:rPr>
          <w:rFonts w:ascii="Times New Roman" w:hAnsi="Times New Roman" w:cs="Times New Roman"/>
          <w:sz w:val="28"/>
          <w:szCs w:val="28"/>
        </w:rPr>
        <w:t>3</w:t>
      </w:r>
      <w:r w:rsidRPr="00CC0DB4">
        <w:rPr>
          <w:rFonts w:ascii="Times New Roman" w:hAnsi="Times New Roman" w:cs="Times New Roman"/>
          <w:sz w:val="28"/>
          <w:szCs w:val="28"/>
        </w:rPr>
        <w:t>.20</w:t>
      </w:r>
      <w:r w:rsidR="00AD5B1D">
        <w:rPr>
          <w:rFonts w:ascii="Times New Roman" w:hAnsi="Times New Roman" w:cs="Times New Roman"/>
          <w:sz w:val="28"/>
          <w:szCs w:val="28"/>
        </w:rPr>
        <w:t>20</w:t>
      </w:r>
      <w:r w:rsidRPr="00CC0DB4">
        <w:rPr>
          <w:rFonts w:ascii="Times New Roman" w:hAnsi="Times New Roman" w:cs="Times New Roman"/>
          <w:sz w:val="28"/>
          <w:szCs w:val="28"/>
        </w:rPr>
        <w:t xml:space="preserve"> № </w:t>
      </w:r>
      <w:r w:rsidR="00AD5B1D">
        <w:rPr>
          <w:rFonts w:ascii="Times New Roman" w:hAnsi="Times New Roman" w:cs="Times New Roman"/>
          <w:sz w:val="28"/>
          <w:szCs w:val="28"/>
        </w:rPr>
        <w:t>335</w:t>
      </w:r>
      <w:r w:rsidRPr="00CC0DB4">
        <w:rPr>
          <w:rFonts w:ascii="Times New Roman" w:hAnsi="Times New Roman" w:cs="Times New Roman"/>
          <w:sz w:val="28"/>
          <w:szCs w:val="28"/>
        </w:rPr>
        <w:t xml:space="preserve"> «</w:t>
      </w:r>
      <w:r w:rsidR="00AD5B1D" w:rsidRPr="00AD5B1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Администрации муниципального образования «Город Майкоп» на 2018-2022 годы»</w:t>
      </w:r>
      <w:r w:rsidRPr="00AD5B1D">
        <w:rPr>
          <w:rFonts w:ascii="Times New Roman" w:hAnsi="Times New Roman" w:cs="Times New Roman"/>
          <w:sz w:val="28"/>
          <w:szCs w:val="28"/>
        </w:rPr>
        <w:t>»</w:t>
      </w:r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hAnsi="Times New Roman" w:cs="Times New Roman"/>
          <w:sz w:val="28"/>
          <w:szCs w:val="28"/>
        </w:rPr>
        <w:t>внесены изменения в целях приведения в соответствии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о бюджете муниципального образования «Город Майкоп» по состоянию </w:t>
      </w:r>
      <w:r w:rsidRPr="00CC0DB4">
        <w:rPr>
          <w:rFonts w:ascii="Times New Roman" w:hAnsi="Times New Roman" w:cs="Times New Roman"/>
          <w:sz w:val="28"/>
          <w:szCs w:val="28"/>
        </w:rPr>
        <w:t>на 01.01.20</w:t>
      </w:r>
      <w:r w:rsidR="00AD5B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81C" w:rsidRPr="009E7EF3" w:rsidRDefault="0057381C" w:rsidP="0057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D879F1">
        <w:rPr>
          <w:rFonts w:ascii="Times New Roman" w:hAnsi="Times New Roman" w:cs="Times New Roman"/>
          <w:sz w:val="28"/>
          <w:szCs w:val="28"/>
        </w:rPr>
        <w:t>25.12.2020 № 1437</w:t>
      </w:r>
      <w:r w:rsidRPr="00CC0DB4">
        <w:rPr>
          <w:rFonts w:ascii="Times New Roman" w:hAnsi="Times New Roman" w:cs="Times New Roman"/>
          <w:sz w:val="28"/>
          <w:szCs w:val="28"/>
        </w:rPr>
        <w:t xml:space="preserve"> «</w:t>
      </w:r>
      <w:r w:rsidR="00AD5B1D" w:rsidRPr="00AD5B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«Информатизация Администрации муниципального образования «Город Майкоп» на 2018-2022 годы»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 в целях приведения в соответствии с решением о бюджете муниципального образования «Город Майкоп» по состоянию на 31.12.20</w:t>
      </w:r>
      <w:r w:rsidR="00AD5B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1C" w:rsidRPr="00682B17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1C" w:rsidRPr="00682B17" w:rsidRDefault="0057381C" w:rsidP="005738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1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57381C" w:rsidRDefault="0057381C" w:rsidP="0057381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381C" w:rsidRPr="00D304C0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C0">
        <w:rPr>
          <w:rFonts w:ascii="Times New Roman" w:hAnsi="Times New Roman" w:cs="Times New Roman"/>
          <w:b/>
          <w:sz w:val="28"/>
          <w:szCs w:val="28"/>
        </w:rPr>
        <w:t>1. Оценка степени достижения целе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вых показателей </w:t>
      </w:r>
      <w:r w:rsidRPr="00D304C0">
        <w:rPr>
          <w:rFonts w:ascii="Times New Roman" w:hAnsi="Times New Roman" w:cs="Times New Roman"/>
          <w:b/>
          <w:sz w:val="28"/>
          <w:szCs w:val="28"/>
        </w:rPr>
        <w:t>муниципальной программы: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цель и задачи муниципальной программы.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879F1">
        <w:rPr>
          <w:rFonts w:ascii="Times New Roman" w:hAnsi="Times New Roman" w:cs="Times New Roman"/>
          <w:sz w:val="28"/>
          <w:szCs w:val="28"/>
        </w:rPr>
        <w:t>71,4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м.пф2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57381C" w:rsidRPr="001975D9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879F1">
        <w:rPr>
          <w:rFonts w:ascii="Times New Roman" w:hAnsi="Times New Roman" w:cs="Times New Roman"/>
          <w:sz w:val="28"/>
          <w:szCs w:val="28"/>
        </w:rPr>
        <w:t>88,8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879F1">
        <w:rPr>
          <w:rFonts w:ascii="Times New Roman" w:hAnsi="Times New Roman" w:cs="Times New Roman"/>
          <w:sz w:val="28"/>
          <w:szCs w:val="28"/>
        </w:rPr>
        <w:t>5627,7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м.пф5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м.пф6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879F1">
        <w:rPr>
          <w:rFonts w:ascii="Times New Roman" w:hAnsi="Times New Roman" w:cs="Times New Roman"/>
          <w:sz w:val="28"/>
          <w:szCs w:val="28"/>
        </w:rPr>
        <w:t>72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м.пп1</w:t>
      </w:r>
      <w:r w:rsidR="00D879F1">
        <w:rPr>
          <w:rFonts w:ascii="Times New Roman" w:hAnsi="Times New Roman" w:cs="Times New Roman"/>
          <w:sz w:val="28"/>
          <w:szCs w:val="28"/>
        </w:rPr>
        <w:t xml:space="preserve"> = 58,6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м.пп2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57381C" w:rsidRPr="001975D9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м.пп3</w:t>
      </w:r>
      <w:r w:rsidR="00D879F1">
        <w:rPr>
          <w:rFonts w:ascii="Times New Roman" w:hAnsi="Times New Roman" w:cs="Times New Roman"/>
          <w:sz w:val="28"/>
          <w:szCs w:val="28"/>
        </w:rPr>
        <w:t xml:space="preserve"> = 86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м.пп4</w:t>
      </w:r>
      <w:r w:rsidR="00D879F1">
        <w:rPr>
          <w:rFonts w:ascii="Times New Roman" w:hAnsi="Times New Roman" w:cs="Times New Roman"/>
          <w:sz w:val="28"/>
          <w:szCs w:val="28"/>
        </w:rPr>
        <w:t xml:space="preserve"> = 130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м.пп5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м.пп6</w:t>
      </w:r>
      <w:r>
        <w:rPr>
          <w:rFonts w:ascii="Times New Roman" w:hAnsi="Times New Roman" w:cs="Times New Roman"/>
          <w:sz w:val="28"/>
          <w:szCs w:val="28"/>
        </w:rPr>
        <w:t xml:space="preserve"> = 85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м.ппз1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879F1">
        <w:rPr>
          <w:rFonts w:ascii="Times New Roman" w:hAnsi="Times New Roman" w:cs="Times New Roman"/>
          <w:sz w:val="28"/>
          <w:szCs w:val="28"/>
        </w:rPr>
        <w:t>71,4/58,6=1,22=1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м.ппз2 </w:t>
      </w:r>
      <w:r>
        <w:rPr>
          <w:rFonts w:ascii="Times New Roman" w:hAnsi="Times New Roman" w:cs="Times New Roman"/>
          <w:sz w:val="28"/>
          <w:szCs w:val="28"/>
        </w:rPr>
        <w:t>= 4/4 = 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м.ппз3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879F1">
        <w:rPr>
          <w:rFonts w:ascii="Times New Roman" w:hAnsi="Times New Roman" w:cs="Times New Roman"/>
          <w:sz w:val="28"/>
          <w:szCs w:val="28"/>
        </w:rPr>
        <w:t>88,8/86,0=1,03=1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м.ппз4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879F1">
        <w:rPr>
          <w:rFonts w:ascii="Times New Roman" w:hAnsi="Times New Roman" w:cs="Times New Roman"/>
          <w:sz w:val="28"/>
          <w:szCs w:val="28"/>
        </w:rPr>
        <w:t>5627,7/1300=4,33=1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м.ппз5 </w:t>
      </w:r>
      <w:r>
        <w:rPr>
          <w:rFonts w:ascii="Times New Roman" w:hAnsi="Times New Roman" w:cs="Times New Roman"/>
          <w:sz w:val="28"/>
          <w:szCs w:val="28"/>
        </w:rPr>
        <w:t>= 100/100 = 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м.ппз6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879F1">
        <w:rPr>
          <w:rFonts w:ascii="Times New Roman" w:hAnsi="Times New Roman" w:cs="Times New Roman"/>
          <w:sz w:val="28"/>
          <w:szCs w:val="28"/>
        </w:rPr>
        <w:t>72/85=0,85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∑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м.ппз</w:t>
      </w:r>
      <w:proofErr w:type="spellEnd"/>
      <w:r>
        <w:rPr>
          <w:rFonts w:ascii="Times New Roman" w:hAnsi="Times New Roman" w:cs="Times New Roman"/>
          <w:sz w:val="28"/>
          <w:szCs w:val="28"/>
        </w:rPr>
        <w:t>/М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программы.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879F1">
        <w:rPr>
          <w:rFonts w:ascii="Times New Roman" w:hAnsi="Times New Roman" w:cs="Times New Roman"/>
          <w:sz w:val="28"/>
          <w:szCs w:val="28"/>
        </w:rPr>
        <w:t>(1+1+1+1+1+0,85</w:t>
      </w:r>
      <w:r>
        <w:rPr>
          <w:rFonts w:ascii="Times New Roman" w:hAnsi="Times New Roman" w:cs="Times New Roman"/>
          <w:sz w:val="28"/>
          <w:szCs w:val="28"/>
        </w:rPr>
        <w:t xml:space="preserve">)/6 = </w:t>
      </w:r>
      <w:r w:rsidR="00D879F1">
        <w:rPr>
          <w:rFonts w:ascii="Times New Roman" w:hAnsi="Times New Roman" w:cs="Times New Roman"/>
          <w:sz w:val="28"/>
          <w:szCs w:val="28"/>
        </w:rPr>
        <w:t>0,98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фактического достижения значения контрольного события: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события;</w:t>
      </w:r>
    </w:p>
    <w:p w:rsidR="00D879F1" w:rsidRDefault="00D879F1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кс1.5.1</w:t>
      </w:r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кс1.5.2</w:t>
      </w:r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57381C" w:rsidRPr="009E3C78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кс1.6.1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879F1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Оценка степени реализации каждого основного мероприятия: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BE7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программы;</w:t>
      </w:r>
    </w:p>
    <w:p w:rsidR="0057381C" w:rsidRPr="00BE7476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BE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оценка фактического достижения контрольного события;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47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контрольных событий.</w:t>
      </w:r>
    </w:p>
    <w:p w:rsidR="0057381C" w:rsidRPr="00BE7476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м1 </w:t>
      </w:r>
      <w:r>
        <w:rPr>
          <w:rFonts w:ascii="Times New Roman" w:hAnsi="Times New Roman" w:cs="Times New Roman"/>
          <w:sz w:val="28"/>
          <w:szCs w:val="28"/>
        </w:rPr>
        <w:t>= (1+1+1)/</w:t>
      </w:r>
      <w:r w:rsidR="00D87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степени реализации основных мероприятий в целом по муниципальной программе: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>/М, где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общее количество основных мероприятий, запланированных к реализации в отчетном году;</w:t>
      </w:r>
    </w:p>
    <w:p w:rsidR="0057381C" w:rsidRPr="00F2036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СР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F203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7381C" w:rsidRPr="00BE7476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Pr="0057347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7E">
        <w:rPr>
          <w:rFonts w:ascii="Times New Roman" w:hAnsi="Times New Roman" w:cs="Times New Roman"/>
          <w:b/>
          <w:sz w:val="28"/>
          <w:szCs w:val="28"/>
        </w:rPr>
        <w:t>5. Оценка степени соответствия запланированному уровню затрат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381C" w:rsidRPr="0057347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СС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, где</w:t>
      </w:r>
    </w:p>
    <w:p w:rsidR="0057381C" w:rsidRPr="0057347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СС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57381C" w:rsidRPr="0057347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57381C" w:rsidRPr="0057347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году;</w:t>
      </w:r>
    </w:p>
    <w:p w:rsidR="0057381C" w:rsidRPr="00F2036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СС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9F1">
        <w:rPr>
          <w:rFonts w:ascii="Times New Roman" w:hAnsi="Times New Roman" w:cs="Times New Roman"/>
          <w:sz w:val="28"/>
          <w:szCs w:val="28"/>
        </w:rPr>
        <w:t>29,1/29,2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D879F1">
        <w:rPr>
          <w:rFonts w:ascii="Times New Roman" w:hAnsi="Times New Roman" w:cs="Times New Roman"/>
          <w:sz w:val="28"/>
          <w:szCs w:val="28"/>
        </w:rPr>
        <w:t>,0</w:t>
      </w:r>
    </w:p>
    <w:p w:rsidR="0057381C" w:rsidRPr="00F2036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Pr="003D1553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использования финансовых ресурсов: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мероприятий, финансируемых за счет всех источников;</w:t>
      </w:r>
    </w:p>
    <w:p w:rsidR="0057381C" w:rsidRPr="00E16748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57381C" w:rsidRPr="00F2036E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Э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1/1 = 1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муниципальной программы: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79F1">
        <w:rPr>
          <w:rFonts w:ascii="Times New Roman" w:hAnsi="Times New Roman" w:cs="Times New Roman"/>
          <w:sz w:val="28"/>
          <w:szCs w:val="28"/>
        </w:rPr>
        <w:t>= 0,98*1 = 0,98</w:t>
      </w: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81C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 эффективной и ее дальнейшее финансирование целесообразно. </w:t>
      </w:r>
    </w:p>
    <w:p w:rsidR="0057381C" w:rsidRPr="001C4BBD" w:rsidRDefault="0057381C" w:rsidP="00573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D5B1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году была разработана и утверждена муниципальная программа «Информатизация Администрации муниципального образования «Город Майкоп» на 2018-202</w:t>
      </w:r>
      <w:r w:rsidR="00AD5B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годы», в рамках которой планируется п</w:t>
      </w:r>
      <w:r w:rsidRPr="001C4BBD">
        <w:rPr>
          <w:rFonts w:ascii="Times New Roman" w:hAnsi="Times New Roman" w:cs="Times New Roman"/>
          <w:sz w:val="28"/>
          <w:szCs w:val="28"/>
        </w:rPr>
        <w:t>овышение обеспечения органов местного самоуправления современными информационно-телекоммуникационными технологиями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EEE" w:rsidRPr="0057381C" w:rsidRDefault="004A1EEE" w:rsidP="0057381C"/>
    <w:sectPr w:rsidR="004A1EEE" w:rsidRPr="0057381C" w:rsidSect="00311844">
      <w:headerReference w:type="default" r:id="rId9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B7" w:rsidRDefault="005522B7" w:rsidP="001A399C">
      <w:pPr>
        <w:spacing w:after="0" w:line="240" w:lineRule="auto"/>
      </w:pPr>
      <w:r>
        <w:separator/>
      </w:r>
    </w:p>
  </w:endnote>
  <w:endnote w:type="continuationSeparator" w:id="0">
    <w:p w:rsidR="005522B7" w:rsidRDefault="005522B7" w:rsidP="001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B7" w:rsidRDefault="005522B7" w:rsidP="001A399C">
      <w:pPr>
        <w:spacing w:after="0" w:line="240" w:lineRule="auto"/>
      </w:pPr>
      <w:r>
        <w:separator/>
      </w:r>
    </w:p>
  </w:footnote>
  <w:footnote w:type="continuationSeparator" w:id="0">
    <w:p w:rsidR="005522B7" w:rsidRDefault="005522B7" w:rsidP="001A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15092"/>
      <w:docPartObj>
        <w:docPartGallery w:val="Page Numbers (Top of Page)"/>
        <w:docPartUnique/>
      </w:docPartObj>
    </w:sdtPr>
    <w:sdtEndPr/>
    <w:sdtContent>
      <w:p w:rsidR="0057381C" w:rsidRDefault="005738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D1">
          <w:rPr>
            <w:noProof/>
          </w:rPr>
          <w:t>4</w:t>
        </w:r>
        <w:r>
          <w:fldChar w:fldCharType="end"/>
        </w:r>
      </w:p>
    </w:sdtContent>
  </w:sdt>
  <w:p w:rsidR="0057381C" w:rsidRDefault="005738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0721"/>
      <w:docPartObj>
        <w:docPartGallery w:val="Page Numbers (Top of Page)"/>
        <w:docPartUnique/>
      </w:docPartObj>
    </w:sdtPr>
    <w:sdtEndPr/>
    <w:sdtContent>
      <w:p w:rsidR="001A399C" w:rsidRDefault="001A3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D1">
          <w:rPr>
            <w:noProof/>
          </w:rPr>
          <w:t>12</w:t>
        </w:r>
        <w:r>
          <w:fldChar w:fldCharType="end"/>
        </w:r>
      </w:p>
    </w:sdtContent>
  </w:sdt>
  <w:p w:rsidR="001A399C" w:rsidRDefault="001A39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F1"/>
    <w:rsid w:val="00004F0E"/>
    <w:rsid w:val="000111AA"/>
    <w:rsid w:val="00011577"/>
    <w:rsid w:val="00011784"/>
    <w:rsid w:val="00015CE9"/>
    <w:rsid w:val="000205FF"/>
    <w:rsid w:val="00020B8A"/>
    <w:rsid w:val="00030EE9"/>
    <w:rsid w:val="00031DAF"/>
    <w:rsid w:val="00041D69"/>
    <w:rsid w:val="00041F51"/>
    <w:rsid w:val="000437F5"/>
    <w:rsid w:val="00046838"/>
    <w:rsid w:val="00060BCB"/>
    <w:rsid w:val="0007691F"/>
    <w:rsid w:val="0007746E"/>
    <w:rsid w:val="00080D5B"/>
    <w:rsid w:val="00085CD2"/>
    <w:rsid w:val="000A08D1"/>
    <w:rsid w:val="000A0EAE"/>
    <w:rsid w:val="000A3264"/>
    <w:rsid w:val="000A4AE5"/>
    <w:rsid w:val="000A7F6A"/>
    <w:rsid w:val="000B5052"/>
    <w:rsid w:val="000D4B4F"/>
    <w:rsid w:val="000D757D"/>
    <w:rsid w:val="000E237B"/>
    <w:rsid w:val="000E2499"/>
    <w:rsid w:val="000F31DE"/>
    <w:rsid w:val="00104F0E"/>
    <w:rsid w:val="0010568E"/>
    <w:rsid w:val="001107C5"/>
    <w:rsid w:val="00122EA6"/>
    <w:rsid w:val="00122EDF"/>
    <w:rsid w:val="00135A33"/>
    <w:rsid w:val="00151DF9"/>
    <w:rsid w:val="00170811"/>
    <w:rsid w:val="0017437C"/>
    <w:rsid w:val="00174572"/>
    <w:rsid w:val="00177A83"/>
    <w:rsid w:val="001975D9"/>
    <w:rsid w:val="001A14FE"/>
    <w:rsid w:val="001A399C"/>
    <w:rsid w:val="001C0EAC"/>
    <w:rsid w:val="001C4BBD"/>
    <w:rsid w:val="001D44D0"/>
    <w:rsid w:val="001F624B"/>
    <w:rsid w:val="00203CDE"/>
    <w:rsid w:val="00225B73"/>
    <w:rsid w:val="00230082"/>
    <w:rsid w:val="00237313"/>
    <w:rsid w:val="00241D0B"/>
    <w:rsid w:val="002420B8"/>
    <w:rsid w:val="00243464"/>
    <w:rsid w:val="00250BB9"/>
    <w:rsid w:val="00257D47"/>
    <w:rsid w:val="002675EB"/>
    <w:rsid w:val="00293FB6"/>
    <w:rsid w:val="002A0427"/>
    <w:rsid w:val="002A4286"/>
    <w:rsid w:val="002A66DE"/>
    <w:rsid w:val="002D5F61"/>
    <w:rsid w:val="002E2EAB"/>
    <w:rsid w:val="002F07F1"/>
    <w:rsid w:val="00303B5A"/>
    <w:rsid w:val="00304A8C"/>
    <w:rsid w:val="00311844"/>
    <w:rsid w:val="00313C00"/>
    <w:rsid w:val="00356DBC"/>
    <w:rsid w:val="0036679B"/>
    <w:rsid w:val="00375EE9"/>
    <w:rsid w:val="00384306"/>
    <w:rsid w:val="003A3214"/>
    <w:rsid w:val="003A4219"/>
    <w:rsid w:val="003C0252"/>
    <w:rsid w:val="003C2F21"/>
    <w:rsid w:val="003D1553"/>
    <w:rsid w:val="003D6EC9"/>
    <w:rsid w:val="003E1253"/>
    <w:rsid w:val="003E302B"/>
    <w:rsid w:val="003E361F"/>
    <w:rsid w:val="003E6BB2"/>
    <w:rsid w:val="00410210"/>
    <w:rsid w:val="00415426"/>
    <w:rsid w:val="0041597F"/>
    <w:rsid w:val="00430F10"/>
    <w:rsid w:val="00433D81"/>
    <w:rsid w:val="00444277"/>
    <w:rsid w:val="00454475"/>
    <w:rsid w:val="00461B8B"/>
    <w:rsid w:val="00482C39"/>
    <w:rsid w:val="004975F6"/>
    <w:rsid w:val="00497CA8"/>
    <w:rsid w:val="004A1EEE"/>
    <w:rsid w:val="004B78EC"/>
    <w:rsid w:val="004C0B0C"/>
    <w:rsid w:val="004C6D59"/>
    <w:rsid w:val="004D1402"/>
    <w:rsid w:val="004E32A9"/>
    <w:rsid w:val="004E4A23"/>
    <w:rsid w:val="005113A6"/>
    <w:rsid w:val="00513DE2"/>
    <w:rsid w:val="00514AE4"/>
    <w:rsid w:val="00520434"/>
    <w:rsid w:val="005324D5"/>
    <w:rsid w:val="00540ED3"/>
    <w:rsid w:val="005522B7"/>
    <w:rsid w:val="00555B84"/>
    <w:rsid w:val="0057347E"/>
    <w:rsid w:val="0057381C"/>
    <w:rsid w:val="00575CEE"/>
    <w:rsid w:val="00591123"/>
    <w:rsid w:val="005946CE"/>
    <w:rsid w:val="005A3BF1"/>
    <w:rsid w:val="005A4F25"/>
    <w:rsid w:val="005A540A"/>
    <w:rsid w:val="005A5F1D"/>
    <w:rsid w:val="005B2EB8"/>
    <w:rsid w:val="005B30C3"/>
    <w:rsid w:val="005C429D"/>
    <w:rsid w:val="005C7131"/>
    <w:rsid w:val="005D2BA9"/>
    <w:rsid w:val="005E12BF"/>
    <w:rsid w:val="005E5640"/>
    <w:rsid w:val="005F5658"/>
    <w:rsid w:val="006139BC"/>
    <w:rsid w:val="0062449F"/>
    <w:rsid w:val="00625185"/>
    <w:rsid w:val="006364B5"/>
    <w:rsid w:val="00672448"/>
    <w:rsid w:val="00673596"/>
    <w:rsid w:val="006769E2"/>
    <w:rsid w:val="00682B17"/>
    <w:rsid w:val="00687D35"/>
    <w:rsid w:val="006908F0"/>
    <w:rsid w:val="0069155F"/>
    <w:rsid w:val="006B58A8"/>
    <w:rsid w:val="006B6125"/>
    <w:rsid w:val="006D0095"/>
    <w:rsid w:val="006D105A"/>
    <w:rsid w:val="006E37A6"/>
    <w:rsid w:val="006E47FE"/>
    <w:rsid w:val="006F07F8"/>
    <w:rsid w:val="006F0EB1"/>
    <w:rsid w:val="006F33D6"/>
    <w:rsid w:val="00701946"/>
    <w:rsid w:val="00714F53"/>
    <w:rsid w:val="00715D1F"/>
    <w:rsid w:val="007207E0"/>
    <w:rsid w:val="007332FA"/>
    <w:rsid w:val="007340D5"/>
    <w:rsid w:val="0073472D"/>
    <w:rsid w:val="0075301F"/>
    <w:rsid w:val="00761B43"/>
    <w:rsid w:val="007666D7"/>
    <w:rsid w:val="00767E09"/>
    <w:rsid w:val="007853AA"/>
    <w:rsid w:val="007955E2"/>
    <w:rsid w:val="007A23BB"/>
    <w:rsid w:val="007B4A02"/>
    <w:rsid w:val="007D1A31"/>
    <w:rsid w:val="007D719F"/>
    <w:rsid w:val="007F228C"/>
    <w:rsid w:val="007F5A2B"/>
    <w:rsid w:val="00801BD3"/>
    <w:rsid w:val="00803705"/>
    <w:rsid w:val="008054E3"/>
    <w:rsid w:val="008248C0"/>
    <w:rsid w:val="00826F48"/>
    <w:rsid w:val="00842314"/>
    <w:rsid w:val="008565D1"/>
    <w:rsid w:val="008748BD"/>
    <w:rsid w:val="00877D8F"/>
    <w:rsid w:val="00880776"/>
    <w:rsid w:val="008C10EA"/>
    <w:rsid w:val="008C316B"/>
    <w:rsid w:val="008C38A6"/>
    <w:rsid w:val="008C39F3"/>
    <w:rsid w:val="008D1136"/>
    <w:rsid w:val="008D339A"/>
    <w:rsid w:val="008D5EA9"/>
    <w:rsid w:val="008E2834"/>
    <w:rsid w:val="008E2959"/>
    <w:rsid w:val="008F6B94"/>
    <w:rsid w:val="00906072"/>
    <w:rsid w:val="00914331"/>
    <w:rsid w:val="00914B25"/>
    <w:rsid w:val="0094351B"/>
    <w:rsid w:val="0094778B"/>
    <w:rsid w:val="00963D75"/>
    <w:rsid w:val="009743D6"/>
    <w:rsid w:val="00975F0E"/>
    <w:rsid w:val="00982161"/>
    <w:rsid w:val="00987EC9"/>
    <w:rsid w:val="009C314C"/>
    <w:rsid w:val="009E3C78"/>
    <w:rsid w:val="009E7EF3"/>
    <w:rsid w:val="009F4055"/>
    <w:rsid w:val="009F7B02"/>
    <w:rsid w:val="009F7F8A"/>
    <w:rsid w:val="00A00EE2"/>
    <w:rsid w:val="00A066AD"/>
    <w:rsid w:val="00A179D3"/>
    <w:rsid w:val="00A21006"/>
    <w:rsid w:val="00A55367"/>
    <w:rsid w:val="00A675A6"/>
    <w:rsid w:val="00A81464"/>
    <w:rsid w:val="00A91052"/>
    <w:rsid w:val="00AA57FD"/>
    <w:rsid w:val="00AB4B1F"/>
    <w:rsid w:val="00AC0560"/>
    <w:rsid w:val="00AC155A"/>
    <w:rsid w:val="00AC423F"/>
    <w:rsid w:val="00AD2D56"/>
    <w:rsid w:val="00AD5B1D"/>
    <w:rsid w:val="00AE4C80"/>
    <w:rsid w:val="00AF16FF"/>
    <w:rsid w:val="00B16BF7"/>
    <w:rsid w:val="00B20AE7"/>
    <w:rsid w:val="00B215C0"/>
    <w:rsid w:val="00B267B5"/>
    <w:rsid w:val="00B26A4C"/>
    <w:rsid w:val="00B27533"/>
    <w:rsid w:val="00B31A1F"/>
    <w:rsid w:val="00B73142"/>
    <w:rsid w:val="00B7680A"/>
    <w:rsid w:val="00B84DD8"/>
    <w:rsid w:val="00B931A2"/>
    <w:rsid w:val="00B947BE"/>
    <w:rsid w:val="00BB3DF3"/>
    <w:rsid w:val="00BB5856"/>
    <w:rsid w:val="00BC23D6"/>
    <w:rsid w:val="00BC33F4"/>
    <w:rsid w:val="00BC6254"/>
    <w:rsid w:val="00BD3D24"/>
    <w:rsid w:val="00BD4E85"/>
    <w:rsid w:val="00BE4610"/>
    <w:rsid w:val="00BE6E17"/>
    <w:rsid w:val="00BE7476"/>
    <w:rsid w:val="00BF179A"/>
    <w:rsid w:val="00BF343B"/>
    <w:rsid w:val="00C01067"/>
    <w:rsid w:val="00C15DD9"/>
    <w:rsid w:val="00C1611C"/>
    <w:rsid w:val="00C17C85"/>
    <w:rsid w:val="00C22F06"/>
    <w:rsid w:val="00C2366A"/>
    <w:rsid w:val="00C27BB7"/>
    <w:rsid w:val="00C3094F"/>
    <w:rsid w:val="00C31446"/>
    <w:rsid w:val="00C56921"/>
    <w:rsid w:val="00C66133"/>
    <w:rsid w:val="00C664CD"/>
    <w:rsid w:val="00C72B8F"/>
    <w:rsid w:val="00C738E7"/>
    <w:rsid w:val="00C77F35"/>
    <w:rsid w:val="00C808FF"/>
    <w:rsid w:val="00CB6B6E"/>
    <w:rsid w:val="00CC01B4"/>
    <w:rsid w:val="00CC0DB4"/>
    <w:rsid w:val="00CC3957"/>
    <w:rsid w:val="00CC7BD7"/>
    <w:rsid w:val="00CD4734"/>
    <w:rsid w:val="00CD5E0B"/>
    <w:rsid w:val="00CE3E03"/>
    <w:rsid w:val="00CF28C0"/>
    <w:rsid w:val="00CF46D4"/>
    <w:rsid w:val="00D00372"/>
    <w:rsid w:val="00D116C2"/>
    <w:rsid w:val="00D20EE1"/>
    <w:rsid w:val="00D23743"/>
    <w:rsid w:val="00D25122"/>
    <w:rsid w:val="00D304C0"/>
    <w:rsid w:val="00D30C85"/>
    <w:rsid w:val="00D33BA8"/>
    <w:rsid w:val="00D42940"/>
    <w:rsid w:val="00D46104"/>
    <w:rsid w:val="00D52AE2"/>
    <w:rsid w:val="00D62DE3"/>
    <w:rsid w:val="00D70FB3"/>
    <w:rsid w:val="00D76F19"/>
    <w:rsid w:val="00D844B4"/>
    <w:rsid w:val="00D870DD"/>
    <w:rsid w:val="00D879F1"/>
    <w:rsid w:val="00D9445C"/>
    <w:rsid w:val="00DA08FD"/>
    <w:rsid w:val="00DB58D2"/>
    <w:rsid w:val="00DB7523"/>
    <w:rsid w:val="00DC4728"/>
    <w:rsid w:val="00DD3457"/>
    <w:rsid w:val="00DE6478"/>
    <w:rsid w:val="00DF2E05"/>
    <w:rsid w:val="00DF7430"/>
    <w:rsid w:val="00DF7E6C"/>
    <w:rsid w:val="00E07B47"/>
    <w:rsid w:val="00E07F5E"/>
    <w:rsid w:val="00E113DF"/>
    <w:rsid w:val="00E116F0"/>
    <w:rsid w:val="00E16748"/>
    <w:rsid w:val="00E22FF5"/>
    <w:rsid w:val="00E3447A"/>
    <w:rsid w:val="00E41CE8"/>
    <w:rsid w:val="00E645DA"/>
    <w:rsid w:val="00E72340"/>
    <w:rsid w:val="00E7420F"/>
    <w:rsid w:val="00E82472"/>
    <w:rsid w:val="00E85B85"/>
    <w:rsid w:val="00E935BA"/>
    <w:rsid w:val="00EA108D"/>
    <w:rsid w:val="00EA48F1"/>
    <w:rsid w:val="00EB3BA9"/>
    <w:rsid w:val="00EB6A41"/>
    <w:rsid w:val="00ED0F67"/>
    <w:rsid w:val="00EE5D00"/>
    <w:rsid w:val="00EE64B6"/>
    <w:rsid w:val="00EF1FC4"/>
    <w:rsid w:val="00EF3EBF"/>
    <w:rsid w:val="00EF5CBD"/>
    <w:rsid w:val="00F16FA9"/>
    <w:rsid w:val="00F2036E"/>
    <w:rsid w:val="00F36125"/>
    <w:rsid w:val="00F44E0D"/>
    <w:rsid w:val="00F46133"/>
    <w:rsid w:val="00F47BFC"/>
    <w:rsid w:val="00F57EDC"/>
    <w:rsid w:val="00F65780"/>
    <w:rsid w:val="00F819F0"/>
    <w:rsid w:val="00F95A34"/>
    <w:rsid w:val="00FA0FFF"/>
    <w:rsid w:val="00FC0B13"/>
    <w:rsid w:val="00FC51CB"/>
    <w:rsid w:val="00FD3C7F"/>
    <w:rsid w:val="00FE638E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680D"/>
  <w15:chartTrackingRefBased/>
  <w15:docId w15:val="{FA3061A4-C3B1-4378-A5CE-03FE92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1C"/>
  </w:style>
  <w:style w:type="paragraph" w:styleId="1">
    <w:name w:val="heading 1"/>
    <w:basedOn w:val="a"/>
    <w:link w:val="10"/>
    <w:uiPriority w:val="9"/>
    <w:qFormat/>
    <w:rsid w:val="00BE6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6364B5"/>
    <w:rPr>
      <w:b/>
      <w:color w:val="26282F"/>
    </w:rPr>
  </w:style>
  <w:style w:type="paragraph" w:customStyle="1" w:styleId="ConsPlusNormal">
    <w:name w:val="ConsPlusNormal"/>
    <w:rsid w:val="0015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DF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1D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6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6E17"/>
  </w:style>
  <w:style w:type="paragraph" w:styleId="a8">
    <w:name w:val="header"/>
    <w:basedOn w:val="a"/>
    <w:link w:val="a9"/>
    <w:uiPriority w:val="99"/>
    <w:unhideWhenUsed/>
    <w:rsid w:val="001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99C"/>
  </w:style>
  <w:style w:type="paragraph" w:styleId="aa">
    <w:name w:val="footer"/>
    <w:basedOn w:val="a"/>
    <w:link w:val="ab"/>
    <w:uiPriority w:val="99"/>
    <w:unhideWhenUsed/>
    <w:rsid w:val="001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3F43-FE70-4937-B513-6D04957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Водолажский Станислав Александрович</dc:creator>
  <cp:keywords/>
  <dc:description/>
  <cp:lastModifiedBy>Задорожная Оксана Валерьевна</cp:lastModifiedBy>
  <cp:revision>8</cp:revision>
  <cp:lastPrinted>2021-03-19T07:51:00Z</cp:lastPrinted>
  <dcterms:created xsi:type="dcterms:W3CDTF">2021-03-18T14:10:00Z</dcterms:created>
  <dcterms:modified xsi:type="dcterms:W3CDTF">2021-03-19T12:09:00Z</dcterms:modified>
</cp:coreProperties>
</file>